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843"/>
        <w:gridCol w:w="1698"/>
        <w:gridCol w:w="1988"/>
        <w:gridCol w:w="1842"/>
      </w:tblGrid>
      <w:tr w:rsidR="00D05AF5" w:rsidRPr="00D313E5" w14:paraId="1A7E55DD" w14:textId="77777777" w:rsidTr="000220E4">
        <w:tc>
          <w:tcPr>
            <w:tcW w:w="9355" w:type="dxa"/>
            <w:gridSpan w:val="5"/>
            <w:vAlign w:val="center"/>
          </w:tcPr>
          <w:p w14:paraId="4E11C34E" w14:textId="4230BFA0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MATRIZ DE RISCO</w:t>
            </w:r>
          </w:p>
        </w:tc>
      </w:tr>
      <w:tr w:rsidR="00D05AF5" w:rsidRPr="00D313E5" w14:paraId="36DB5EB9" w14:textId="77777777" w:rsidTr="000220E4">
        <w:tc>
          <w:tcPr>
            <w:tcW w:w="1984" w:type="dxa"/>
            <w:vAlign w:val="center"/>
          </w:tcPr>
          <w:p w14:paraId="7BB0C08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Tipo de Risco</w:t>
            </w:r>
          </w:p>
        </w:tc>
        <w:tc>
          <w:tcPr>
            <w:tcW w:w="1843" w:type="dxa"/>
            <w:vAlign w:val="center"/>
          </w:tcPr>
          <w:p w14:paraId="46D79CB7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Descrição</w:t>
            </w:r>
          </w:p>
        </w:tc>
        <w:tc>
          <w:tcPr>
            <w:tcW w:w="1698" w:type="dxa"/>
            <w:vAlign w:val="center"/>
          </w:tcPr>
          <w:p w14:paraId="58A3FB0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Materialização</w:t>
            </w:r>
          </w:p>
        </w:tc>
        <w:tc>
          <w:tcPr>
            <w:tcW w:w="1988" w:type="dxa"/>
            <w:vAlign w:val="center"/>
          </w:tcPr>
          <w:p w14:paraId="25E1767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Mitigação</w:t>
            </w:r>
          </w:p>
        </w:tc>
        <w:tc>
          <w:tcPr>
            <w:tcW w:w="1842" w:type="dxa"/>
            <w:vAlign w:val="center"/>
          </w:tcPr>
          <w:p w14:paraId="558A549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Alocação</w:t>
            </w:r>
          </w:p>
        </w:tc>
      </w:tr>
      <w:tr w:rsidR="00D05AF5" w:rsidRPr="00D313E5" w14:paraId="21D5F676" w14:textId="77777777" w:rsidTr="000220E4">
        <w:tc>
          <w:tcPr>
            <w:tcW w:w="1984" w:type="dxa"/>
            <w:vAlign w:val="center"/>
          </w:tcPr>
          <w:p w14:paraId="18CDB87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Falha no cadastro do imóvel e/ou Falha na Compatibilização das instalações (Projetos)</w:t>
            </w:r>
          </w:p>
        </w:tc>
        <w:tc>
          <w:tcPr>
            <w:tcW w:w="1843" w:type="dxa"/>
            <w:vAlign w:val="center"/>
          </w:tcPr>
          <w:p w14:paraId="2729D41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ou diminuição de serviços e/ou materiais</w:t>
            </w:r>
          </w:p>
        </w:tc>
        <w:tc>
          <w:tcPr>
            <w:tcW w:w="1698" w:type="dxa"/>
            <w:vAlign w:val="center"/>
          </w:tcPr>
          <w:p w14:paraId="0AB9642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de prazo e custos.</w:t>
            </w:r>
          </w:p>
          <w:p w14:paraId="0544B737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Revisão dos projetos e Planilhas.</w:t>
            </w:r>
          </w:p>
        </w:tc>
        <w:tc>
          <w:tcPr>
            <w:tcW w:w="1988" w:type="dxa"/>
            <w:vAlign w:val="center"/>
          </w:tcPr>
          <w:p w14:paraId="38357A8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Antes do início dos serviços a CONTRATADA deverá checar todas as interferências “in loco”</w:t>
            </w:r>
          </w:p>
        </w:tc>
        <w:tc>
          <w:tcPr>
            <w:tcW w:w="1842" w:type="dxa"/>
            <w:vAlign w:val="center"/>
          </w:tcPr>
          <w:p w14:paraId="76AAFDDC" w14:textId="77777777" w:rsidR="00D05AF5" w:rsidRPr="00C95B57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CONTRATADA </w:t>
            </w:r>
            <w:r w:rsidRPr="00C95B57">
              <w:rPr>
                <w:rFonts w:ascii="Arial" w:eastAsia="Arial Unicode MS" w:hAnsi="Arial" w:cs="Arial"/>
                <w:kern w:val="3"/>
                <w:sz w:val="16"/>
                <w:szCs w:val="16"/>
              </w:rPr>
              <w:t>ou</w:t>
            </w:r>
          </w:p>
          <w:p w14:paraId="18D9D92F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pós análise do caso – Administração/</w:t>
            </w:r>
          </w:p>
          <w:p w14:paraId="786DA814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CAIXA</w:t>
            </w:r>
          </w:p>
        </w:tc>
      </w:tr>
      <w:tr w:rsidR="00D05AF5" w:rsidRPr="00D313E5" w14:paraId="3DBCDFE7" w14:textId="77777777" w:rsidTr="000220E4">
        <w:tc>
          <w:tcPr>
            <w:tcW w:w="1984" w:type="dxa"/>
            <w:vAlign w:val="center"/>
          </w:tcPr>
          <w:p w14:paraId="285CD5A0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Embargo ou interdição dos serviços por órgão púbico / fiscalização.</w:t>
            </w:r>
          </w:p>
        </w:tc>
        <w:tc>
          <w:tcPr>
            <w:tcW w:w="1843" w:type="dxa"/>
            <w:vAlign w:val="center"/>
          </w:tcPr>
          <w:p w14:paraId="0C7C1CEA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Parali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s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ação dos serviços por falta de cumprimento de exigências legais (Alvará, ART, Normas de Segurança etc.)</w:t>
            </w:r>
          </w:p>
        </w:tc>
        <w:tc>
          <w:tcPr>
            <w:tcW w:w="1698" w:type="dxa"/>
            <w:vAlign w:val="center"/>
          </w:tcPr>
          <w:p w14:paraId="106E02E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de prazo e custos.</w:t>
            </w:r>
          </w:p>
        </w:tc>
        <w:tc>
          <w:tcPr>
            <w:tcW w:w="1988" w:type="dxa"/>
            <w:vAlign w:val="center"/>
          </w:tcPr>
          <w:p w14:paraId="6772B6E7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1842" w:type="dxa"/>
            <w:vAlign w:val="center"/>
          </w:tcPr>
          <w:p w14:paraId="36DFAB5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</w:t>
            </w:r>
          </w:p>
        </w:tc>
      </w:tr>
      <w:tr w:rsidR="00D05AF5" w:rsidRPr="00D313E5" w14:paraId="4C72FF2D" w14:textId="77777777" w:rsidTr="000220E4">
        <w:tc>
          <w:tcPr>
            <w:tcW w:w="1984" w:type="dxa"/>
            <w:vAlign w:val="center"/>
          </w:tcPr>
          <w:p w14:paraId="11E67CB5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Não ter acesso para a execução dos serviços</w:t>
            </w:r>
          </w:p>
        </w:tc>
        <w:tc>
          <w:tcPr>
            <w:tcW w:w="1843" w:type="dxa"/>
            <w:vAlign w:val="center"/>
          </w:tcPr>
          <w:p w14:paraId="524AF2C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Ter o acesso (total ou parcial) </w:t>
            </w:r>
            <w:r w:rsidRPr="00D313E5">
              <w:rPr>
                <w:rFonts w:ascii="Arial" w:eastAsia="Arial Unicode MS" w:hAnsi="Arial" w:cs="Arial"/>
                <w:b/>
                <w:kern w:val="3"/>
                <w:sz w:val="16"/>
                <w:szCs w:val="16"/>
              </w:rPr>
              <w:t>negado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 ou ser impedido de entrar na unidade por falta de vigilância.</w:t>
            </w:r>
          </w:p>
        </w:tc>
        <w:tc>
          <w:tcPr>
            <w:tcW w:w="1698" w:type="dxa"/>
            <w:vAlign w:val="center"/>
          </w:tcPr>
          <w:p w14:paraId="2050EA5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de prazo e custos.</w:t>
            </w:r>
          </w:p>
        </w:tc>
        <w:tc>
          <w:tcPr>
            <w:tcW w:w="1988" w:type="dxa"/>
            <w:vAlign w:val="center"/>
          </w:tcPr>
          <w:p w14:paraId="5B3B56A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1842" w:type="dxa"/>
            <w:vAlign w:val="center"/>
          </w:tcPr>
          <w:p w14:paraId="0E7874A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</w:p>
          <w:p w14:paraId="3E20DE2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 ou</w:t>
            </w:r>
          </w:p>
          <w:p w14:paraId="0DF8293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pós análise do caso – Administração/</w:t>
            </w:r>
          </w:p>
          <w:p w14:paraId="0451AD5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CAIXA</w:t>
            </w:r>
          </w:p>
        </w:tc>
      </w:tr>
      <w:tr w:rsidR="00D05AF5" w:rsidRPr="00D313E5" w14:paraId="5F3945C9" w14:textId="77777777" w:rsidTr="000220E4">
        <w:tc>
          <w:tcPr>
            <w:tcW w:w="1984" w:type="dxa"/>
            <w:vAlign w:val="center"/>
          </w:tcPr>
          <w:p w14:paraId="72B439C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Falta de qualificação de pessoal</w:t>
            </w:r>
          </w:p>
        </w:tc>
        <w:tc>
          <w:tcPr>
            <w:tcW w:w="1843" w:type="dxa"/>
            <w:vAlign w:val="center"/>
          </w:tcPr>
          <w:p w14:paraId="0718D492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Contratação de pessoal sem a qualificação necessária para o serviço</w:t>
            </w:r>
          </w:p>
        </w:tc>
        <w:tc>
          <w:tcPr>
            <w:tcW w:w="1698" w:type="dxa"/>
            <w:vAlign w:val="center"/>
          </w:tcPr>
          <w:p w14:paraId="5E9F99B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Retrabalhos</w:t>
            </w:r>
          </w:p>
          <w:p w14:paraId="2BD8CF8F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prazos e custos</w:t>
            </w:r>
          </w:p>
        </w:tc>
        <w:tc>
          <w:tcPr>
            <w:tcW w:w="1988" w:type="dxa"/>
            <w:vAlign w:val="center"/>
          </w:tcPr>
          <w:p w14:paraId="379F5EC4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Exigência de qualificação técnica na contratação</w:t>
            </w:r>
          </w:p>
          <w:p w14:paraId="7803596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Subcontratação de empresas especializadas, dentro do limite permitido</w:t>
            </w:r>
          </w:p>
        </w:tc>
        <w:tc>
          <w:tcPr>
            <w:tcW w:w="1842" w:type="dxa"/>
            <w:vAlign w:val="center"/>
          </w:tcPr>
          <w:p w14:paraId="338A645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05AF5" w:rsidRPr="00D313E5" w14:paraId="311689B0" w14:textId="77777777" w:rsidTr="000220E4">
        <w:tc>
          <w:tcPr>
            <w:tcW w:w="1984" w:type="dxa"/>
            <w:vAlign w:val="center"/>
          </w:tcPr>
          <w:p w14:paraId="33370F7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015A0C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Paralisação 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dos serviços por agentes e/ou eventos externos</w:t>
            </w:r>
          </w:p>
        </w:tc>
        <w:tc>
          <w:tcPr>
            <w:tcW w:w="1843" w:type="dxa"/>
            <w:vAlign w:val="center"/>
          </w:tcPr>
          <w:p w14:paraId="6259A4E4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Eventos durante 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os serviços i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mpeçam o cumprimento do prazo ou aumentem seus custos.</w:t>
            </w:r>
          </w:p>
        </w:tc>
        <w:tc>
          <w:tcPr>
            <w:tcW w:w="1698" w:type="dxa"/>
            <w:vAlign w:val="center"/>
          </w:tcPr>
          <w:p w14:paraId="2417BC6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de prazo e custos</w:t>
            </w:r>
          </w:p>
        </w:tc>
        <w:tc>
          <w:tcPr>
            <w:tcW w:w="1988" w:type="dxa"/>
            <w:vAlign w:val="center"/>
          </w:tcPr>
          <w:p w14:paraId="3DA3CC1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1842" w:type="dxa"/>
            <w:vAlign w:val="center"/>
          </w:tcPr>
          <w:p w14:paraId="4FD9F7F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 ou</w:t>
            </w:r>
          </w:p>
          <w:p w14:paraId="780B3FA8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pós análise do caso – Administração/</w:t>
            </w:r>
          </w:p>
          <w:p w14:paraId="62960A50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CAIXA</w:t>
            </w:r>
          </w:p>
        </w:tc>
      </w:tr>
      <w:tr w:rsidR="00D05AF5" w:rsidRPr="00D313E5" w14:paraId="4F6BA967" w14:textId="77777777" w:rsidTr="000220E4">
        <w:tc>
          <w:tcPr>
            <w:tcW w:w="1984" w:type="dxa"/>
            <w:vAlign w:val="center"/>
          </w:tcPr>
          <w:p w14:paraId="48ACEA9F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Modificações das especificações do serviço / Projeto</w:t>
            </w:r>
          </w:p>
        </w:tc>
        <w:tc>
          <w:tcPr>
            <w:tcW w:w="1843" w:type="dxa"/>
            <w:vAlign w:val="center"/>
          </w:tcPr>
          <w:p w14:paraId="2CB1ACC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Administração poderá modificar especificações de serviços, ampliar ou reduzir o escopo</w:t>
            </w:r>
          </w:p>
        </w:tc>
        <w:tc>
          <w:tcPr>
            <w:tcW w:w="1698" w:type="dxa"/>
            <w:vAlign w:val="center"/>
          </w:tcPr>
          <w:p w14:paraId="373D3D88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de prazo e custos</w:t>
            </w:r>
          </w:p>
        </w:tc>
        <w:tc>
          <w:tcPr>
            <w:tcW w:w="1988" w:type="dxa"/>
            <w:vAlign w:val="center"/>
          </w:tcPr>
          <w:p w14:paraId="436E66F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Reajustes periódicos/reequilíbrio econômico-financeiro/aditivo contratual</w:t>
            </w:r>
          </w:p>
        </w:tc>
        <w:tc>
          <w:tcPr>
            <w:tcW w:w="1842" w:type="dxa"/>
            <w:vAlign w:val="center"/>
          </w:tcPr>
          <w:p w14:paraId="7D7011E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Após análise do caso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 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– Administração/CAIXA</w:t>
            </w:r>
          </w:p>
        </w:tc>
      </w:tr>
      <w:tr w:rsidR="00D05AF5" w:rsidRPr="00D313E5" w14:paraId="40A95F43" w14:textId="77777777" w:rsidTr="000220E4">
        <w:tc>
          <w:tcPr>
            <w:tcW w:w="1984" w:type="dxa"/>
            <w:vAlign w:val="center"/>
          </w:tcPr>
          <w:p w14:paraId="704EB034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Obsolescência tecnológica, falta de inovação técnica e deficiência de equipamentos</w:t>
            </w:r>
          </w:p>
        </w:tc>
        <w:tc>
          <w:tcPr>
            <w:tcW w:w="1843" w:type="dxa"/>
            <w:vAlign w:val="center"/>
          </w:tcPr>
          <w:p w14:paraId="15CAA84A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 não consegue atingir os requisitos de qualidade</w:t>
            </w:r>
          </w:p>
        </w:tc>
        <w:tc>
          <w:tcPr>
            <w:tcW w:w="1698" w:type="dxa"/>
            <w:vAlign w:val="center"/>
          </w:tcPr>
          <w:p w14:paraId="1AA6D9D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Retrabalhos</w:t>
            </w:r>
          </w:p>
          <w:p w14:paraId="0E00582A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de prazo e de custo</w:t>
            </w:r>
          </w:p>
        </w:tc>
        <w:tc>
          <w:tcPr>
            <w:tcW w:w="1988" w:type="dxa"/>
            <w:vAlign w:val="center"/>
          </w:tcPr>
          <w:p w14:paraId="3E43002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Previsão de cláusulas protetivas nos contratos de fornecimento de materiais/serviços</w:t>
            </w:r>
          </w:p>
          <w:p w14:paraId="2B6A8BA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Seguro risco de engenharia</w:t>
            </w:r>
          </w:p>
          <w:p w14:paraId="317D30B5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Seguro de Responsabilidade Civil Profissional</w:t>
            </w:r>
          </w:p>
        </w:tc>
        <w:tc>
          <w:tcPr>
            <w:tcW w:w="1842" w:type="dxa"/>
            <w:vAlign w:val="center"/>
          </w:tcPr>
          <w:p w14:paraId="2AC266D2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</w:t>
            </w:r>
          </w:p>
          <w:p w14:paraId="7EEF62AC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Seguradora</w:t>
            </w:r>
          </w:p>
        </w:tc>
      </w:tr>
      <w:tr w:rsidR="00D05AF5" w:rsidRPr="00D313E5" w14:paraId="23B7AB9B" w14:textId="77777777" w:rsidTr="000220E4">
        <w:tc>
          <w:tcPr>
            <w:tcW w:w="1984" w:type="dxa"/>
            <w:vAlign w:val="center"/>
          </w:tcPr>
          <w:p w14:paraId="3CB8741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Inflação</w:t>
            </w:r>
          </w:p>
          <w:p w14:paraId="0B498B24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Flutuação de Câmbio</w:t>
            </w:r>
          </w:p>
          <w:p w14:paraId="1F6BAB30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Aumentos desproporcionais de custo de insumos</w:t>
            </w:r>
          </w:p>
        </w:tc>
        <w:tc>
          <w:tcPr>
            <w:tcW w:w="1843" w:type="dxa"/>
            <w:vAlign w:val="center"/>
          </w:tcPr>
          <w:p w14:paraId="0093126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Diminuição da margem de lucro da empresa</w:t>
            </w:r>
          </w:p>
        </w:tc>
        <w:tc>
          <w:tcPr>
            <w:tcW w:w="1698" w:type="dxa"/>
            <w:vAlign w:val="center"/>
          </w:tcPr>
          <w:p w14:paraId="2534C0B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do custo</w:t>
            </w:r>
          </w:p>
        </w:tc>
        <w:tc>
          <w:tcPr>
            <w:tcW w:w="1988" w:type="dxa"/>
            <w:vAlign w:val="center"/>
          </w:tcPr>
          <w:p w14:paraId="73D2367F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Previsão de cláusulas protetivas nos contratos de fornecimento de materiais/serviços</w:t>
            </w:r>
          </w:p>
          <w:p w14:paraId="6281A1C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Planejamento de compras</w:t>
            </w:r>
          </w:p>
        </w:tc>
        <w:tc>
          <w:tcPr>
            <w:tcW w:w="1842" w:type="dxa"/>
            <w:vAlign w:val="center"/>
          </w:tcPr>
          <w:p w14:paraId="22294137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Contratada. Caso haja manifestação prévia à emissão dos contratos, CAIXA analisa pedido de cancelamento da Ata</w:t>
            </w:r>
          </w:p>
        </w:tc>
      </w:tr>
      <w:tr w:rsidR="00D05AF5" w:rsidRPr="00D313E5" w14:paraId="7346BB16" w14:textId="77777777" w:rsidTr="000220E4">
        <w:tc>
          <w:tcPr>
            <w:tcW w:w="1984" w:type="dxa"/>
            <w:vAlign w:val="center"/>
          </w:tcPr>
          <w:p w14:paraId="583F1DD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Danos a terceiros</w:t>
            </w:r>
          </w:p>
        </w:tc>
        <w:tc>
          <w:tcPr>
            <w:tcW w:w="1843" w:type="dxa"/>
            <w:vAlign w:val="center"/>
          </w:tcPr>
          <w:p w14:paraId="0869AF35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Danos causados a terceiros em decorrência de más decisões durante a reforma.</w:t>
            </w:r>
          </w:p>
        </w:tc>
        <w:tc>
          <w:tcPr>
            <w:tcW w:w="1698" w:type="dxa"/>
            <w:vAlign w:val="center"/>
          </w:tcPr>
          <w:p w14:paraId="59734AC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prazo e custos</w:t>
            </w:r>
          </w:p>
        </w:tc>
        <w:tc>
          <w:tcPr>
            <w:tcW w:w="1988" w:type="dxa"/>
            <w:vAlign w:val="center"/>
          </w:tcPr>
          <w:p w14:paraId="3707F1C2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Seguros</w:t>
            </w:r>
          </w:p>
        </w:tc>
        <w:tc>
          <w:tcPr>
            <w:tcW w:w="1842" w:type="dxa"/>
            <w:vAlign w:val="center"/>
          </w:tcPr>
          <w:p w14:paraId="46D26DE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</w:t>
            </w:r>
          </w:p>
          <w:p w14:paraId="11CFFDC2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Seguradora</w:t>
            </w:r>
          </w:p>
        </w:tc>
      </w:tr>
      <w:tr w:rsidR="00D05AF5" w:rsidRPr="00D313E5" w14:paraId="1712474D" w14:textId="77777777" w:rsidTr="000220E4">
        <w:tc>
          <w:tcPr>
            <w:tcW w:w="1984" w:type="dxa"/>
            <w:vAlign w:val="center"/>
          </w:tcPr>
          <w:p w14:paraId="7B84435C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Roubos ou furtos no local 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dos serviços</w:t>
            </w:r>
          </w:p>
        </w:tc>
        <w:tc>
          <w:tcPr>
            <w:tcW w:w="1843" w:type="dxa"/>
            <w:vAlign w:val="center"/>
          </w:tcPr>
          <w:p w14:paraId="1C1910B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Prejuízos gerados por segurança inadequada no canteiro de obras, gerando custos adicionais</w:t>
            </w:r>
          </w:p>
        </w:tc>
        <w:tc>
          <w:tcPr>
            <w:tcW w:w="1698" w:type="dxa"/>
            <w:vAlign w:val="center"/>
          </w:tcPr>
          <w:p w14:paraId="08A4074B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prazo e custos</w:t>
            </w:r>
          </w:p>
        </w:tc>
        <w:tc>
          <w:tcPr>
            <w:tcW w:w="1988" w:type="dxa"/>
            <w:vAlign w:val="center"/>
          </w:tcPr>
          <w:p w14:paraId="17B8798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Planejamento organizacional da empresa</w:t>
            </w:r>
          </w:p>
        </w:tc>
        <w:tc>
          <w:tcPr>
            <w:tcW w:w="1842" w:type="dxa"/>
            <w:vAlign w:val="center"/>
          </w:tcPr>
          <w:p w14:paraId="1B1BDDA2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05AF5" w:rsidRPr="00D313E5" w14:paraId="293FA3A3" w14:textId="77777777" w:rsidTr="000220E4">
        <w:tc>
          <w:tcPr>
            <w:tcW w:w="1984" w:type="dxa"/>
            <w:vAlign w:val="center"/>
          </w:tcPr>
          <w:p w14:paraId="3346185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Problemas de liquidez financeira</w:t>
            </w:r>
          </w:p>
        </w:tc>
        <w:tc>
          <w:tcPr>
            <w:tcW w:w="1843" w:type="dxa"/>
            <w:vAlign w:val="center"/>
          </w:tcPr>
          <w:p w14:paraId="23205A0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 apresenta problemas de caixa, impossibilitando a continuação d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os 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lastRenderedPageBreak/>
              <w:t>serviços</w:t>
            </w:r>
          </w:p>
        </w:tc>
        <w:tc>
          <w:tcPr>
            <w:tcW w:w="1698" w:type="dxa"/>
            <w:vAlign w:val="center"/>
          </w:tcPr>
          <w:p w14:paraId="2B2AC6FD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lastRenderedPageBreak/>
              <w:t xml:space="preserve">Aumento de prazo </w:t>
            </w:r>
          </w:p>
        </w:tc>
        <w:tc>
          <w:tcPr>
            <w:tcW w:w="1988" w:type="dxa"/>
            <w:vAlign w:val="center"/>
          </w:tcPr>
          <w:p w14:paraId="2320A8D6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Qualificação Econômico-financeira adequada ao porte d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a Ata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/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contrato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 Planejamento financeiro</w:t>
            </w:r>
          </w:p>
        </w:tc>
        <w:tc>
          <w:tcPr>
            <w:tcW w:w="1842" w:type="dxa"/>
            <w:vAlign w:val="center"/>
          </w:tcPr>
          <w:p w14:paraId="36F9D3D0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05AF5" w:rsidRPr="00D313E5" w14:paraId="426C2620" w14:textId="77777777" w:rsidTr="000220E4">
        <w:tc>
          <w:tcPr>
            <w:tcW w:w="1984" w:type="dxa"/>
            <w:vAlign w:val="center"/>
          </w:tcPr>
          <w:p w14:paraId="09756C3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Não capacidade de gerenciamento </w:t>
            </w:r>
            <w:proofErr w:type="gramStart"/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dos  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serviços</w:t>
            </w:r>
            <w:proofErr w:type="gramEnd"/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 concomitantes</w:t>
            </w:r>
          </w:p>
        </w:tc>
        <w:tc>
          <w:tcPr>
            <w:tcW w:w="1843" w:type="dxa"/>
            <w:vAlign w:val="center"/>
          </w:tcPr>
          <w:p w14:paraId="78C58F8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Falta de pessoal para cumprir os contratos</w:t>
            </w:r>
          </w:p>
        </w:tc>
        <w:tc>
          <w:tcPr>
            <w:tcW w:w="1698" w:type="dxa"/>
            <w:vAlign w:val="center"/>
          </w:tcPr>
          <w:p w14:paraId="4E2069E3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>S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erviços atrasados</w:t>
            </w:r>
          </w:p>
        </w:tc>
        <w:tc>
          <w:tcPr>
            <w:tcW w:w="1988" w:type="dxa"/>
            <w:vAlign w:val="center"/>
          </w:tcPr>
          <w:p w14:paraId="4C8B11B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Contratação de pessoal qualificado em quantidade suficiente</w:t>
            </w:r>
          </w:p>
        </w:tc>
        <w:tc>
          <w:tcPr>
            <w:tcW w:w="1842" w:type="dxa"/>
            <w:vAlign w:val="center"/>
          </w:tcPr>
          <w:p w14:paraId="0E32802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</w:t>
            </w:r>
          </w:p>
        </w:tc>
      </w:tr>
      <w:tr w:rsidR="00D05AF5" w:rsidRPr="00D313E5" w14:paraId="79A89D1D" w14:textId="77777777" w:rsidTr="000220E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630E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Não recebimento d</w:t>
            </w:r>
            <w:r>
              <w:rPr>
                <w:rFonts w:ascii="Arial" w:eastAsia="Arial Unicode MS" w:hAnsi="Arial" w:cs="Arial"/>
                <w:kern w:val="3"/>
                <w:sz w:val="16"/>
                <w:szCs w:val="16"/>
              </w:rPr>
              <w:t xml:space="preserve">os </w:t>
            </w: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serviços pela contratante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EA3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Não cumprimento das especificações de serviços e equipamentos. Pendências de execução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7A41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Retrabalhos</w:t>
            </w:r>
          </w:p>
          <w:p w14:paraId="472BD885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Aumento prazos e custos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3609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Fornecer equipamentos e serviços de acordo, ou de qualidade superior, com os especificados em projeto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01AA" w14:textId="77777777" w:rsidR="00D05AF5" w:rsidRPr="00D313E5" w:rsidRDefault="00D05AF5" w:rsidP="000220E4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16"/>
                <w:szCs w:val="16"/>
              </w:rPr>
            </w:pPr>
            <w:r w:rsidRPr="00D313E5">
              <w:rPr>
                <w:rFonts w:ascii="Arial" w:eastAsia="Arial Unicode MS" w:hAnsi="Arial" w:cs="Arial"/>
                <w:kern w:val="3"/>
                <w:sz w:val="16"/>
                <w:szCs w:val="16"/>
              </w:rPr>
              <w:t>Contratada</w:t>
            </w:r>
          </w:p>
        </w:tc>
      </w:tr>
    </w:tbl>
    <w:p w14:paraId="2E4EACF5" w14:textId="77777777" w:rsidR="00873F02" w:rsidRDefault="00873F02"/>
    <w:sectPr w:rsidR="00873F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F3750" w14:textId="77777777" w:rsidR="00D05AF5" w:rsidRDefault="00D05AF5" w:rsidP="00D05AF5">
      <w:r>
        <w:separator/>
      </w:r>
    </w:p>
  </w:endnote>
  <w:endnote w:type="continuationSeparator" w:id="0">
    <w:p w14:paraId="0C8627CE" w14:textId="77777777" w:rsidR="00D05AF5" w:rsidRDefault="00D05AF5" w:rsidP="00D0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39EA4" w14:textId="77777777" w:rsidR="00D05AF5" w:rsidRDefault="00D05AF5" w:rsidP="00D05AF5">
      <w:r>
        <w:separator/>
      </w:r>
    </w:p>
  </w:footnote>
  <w:footnote w:type="continuationSeparator" w:id="0">
    <w:p w14:paraId="3397B4B6" w14:textId="77777777" w:rsidR="00D05AF5" w:rsidRDefault="00D05AF5" w:rsidP="00D05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F5"/>
    <w:rsid w:val="00873F02"/>
    <w:rsid w:val="00CC6E85"/>
    <w:rsid w:val="00CD1F71"/>
    <w:rsid w:val="00D05AF5"/>
    <w:rsid w:val="00E450EF"/>
    <w:rsid w:val="00F6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981AF"/>
  <w15:chartTrackingRefBased/>
  <w15:docId w15:val="{D7C94670-D442-44B6-882A-10B0CB19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AF5"/>
    <w:pPr>
      <w:spacing w:after="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05AF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05AF5"/>
  </w:style>
  <w:style w:type="paragraph" w:styleId="Rodap">
    <w:name w:val="footer"/>
    <w:basedOn w:val="Normal"/>
    <w:link w:val="RodapChar"/>
    <w:uiPriority w:val="99"/>
    <w:unhideWhenUsed/>
    <w:rsid w:val="00D05AF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05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3354</Characters>
  <Application>Microsoft Office Word</Application>
  <DocSecurity>0</DocSecurity>
  <Lines>27</Lines>
  <Paragraphs>7</Paragraphs>
  <ScaleCrop>false</ScaleCrop>
  <Company>Caixa Economica Federal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Oliveira Engrazia</dc:creator>
  <cp:keywords/>
  <dc:description/>
  <cp:lastModifiedBy>Karina Oliveira Engrazia</cp:lastModifiedBy>
  <cp:revision>1</cp:revision>
  <dcterms:created xsi:type="dcterms:W3CDTF">2022-08-16T16:17:00Z</dcterms:created>
  <dcterms:modified xsi:type="dcterms:W3CDTF">2022-08-16T16:18:00Z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2022-08-16T16:18:25Z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4b452867-eb4a-44b1-a307-da5b9f54db2a</vt:lpwstr>
  </property>
  <property fmtid="{D5CDD505-2E9C-101B-9397-08002B2CF9AE}" pid="8" name="MSIP_Label_fde7aacd-7cc4-4c31-9e6f-7ef306428f09_ContentBits">
    <vt:lpwstr>1</vt:lpwstr>
  </property>
</Properties>
</file>